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A67A5" w14:textId="6E3BC91A" w:rsidR="00C856DA" w:rsidRPr="00344BD5" w:rsidRDefault="00344BD5" w:rsidP="00BC4BAE">
      <w:pPr>
        <w:jc w:val="center"/>
        <w:rPr>
          <w:rStyle w:val="fontstyle01"/>
          <w:rFonts w:ascii="Times New Roman" w:hAnsi="Times New Roman" w:cs="Times New Roman"/>
          <w:b/>
          <w:bCs/>
          <w:i/>
          <w:sz w:val="32"/>
          <w:szCs w:val="32"/>
        </w:rPr>
      </w:pPr>
      <w:r>
        <w:rPr>
          <w:rStyle w:val="fontstyle01"/>
          <w:rFonts w:ascii="Times New Roman" w:hAnsi="Times New Roman" w:cs="Times New Roman"/>
          <w:b/>
          <w:bCs/>
          <w:sz w:val="32"/>
          <w:szCs w:val="32"/>
        </w:rPr>
        <w:t xml:space="preserve">                          </w:t>
      </w:r>
      <w:r w:rsidRPr="00344BD5">
        <w:rPr>
          <w:rStyle w:val="fontstyle01"/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F603BB" w:rsidRPr="00344BD5">
        <w:rPr>
          <w:rStyle w:val="fontstyle01"/>
          <w:rFonts w:ascii="Times New Roman" w:hAnsi="Times New Roman" w:cs="Times New Roman"/>
          <w:b/>
          <w:bCs/>
          <w:i/>
          <w:sz w:val="32"/>
          <w:szCs w:val="32"/>
        </w:rPr>
        <w:t>Supporting Information</w:t>
      </w:r>
    </w:p>
    <w:p w14:paraId="069EE675" w14:textId="77777777" w:rsidR="00344BD5" w:rsidRDefault="00344BD5" w:rsidP="00DE2428">
      <w:pPr>
        <w:spacing w:afterLines="100" w:after="312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78193772"/>
      <w:bookmarkStart w:id="1" w:name="_GoBack"/>
      <w:bookmarkEnd w:id="1"/>
    </w:p>
    <w:p w14:paraId="18FBBB4C" w14:textId="77777777" w:rsidR="00344BD5" w:rsidRDefault="00344BD5" w:rsidP="00DE2428">
      <w:pPr>
        <w:spacing w:afterLines="100" w:after="312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39DD14" w14:textId="584544AF" w:rsidR="00DE2428" w:rsidRPr="00DE2428" w:rsidRDefault="00DE2428" w:rsidP="00DE2428">
      <w:pPr>
        <w:spacing w:afterLines="100" w:after="312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2428">
        <w:rPr>
          <w:rFonts w:ascii="Times New Roman" w:hAnsi="Times New Roman" w:cs="Times New Roman"/>
          <w:b/>
          <w:bCs/>
          <w:sz w:val="32"/>
          <w:szCs w:val="32"/>
        </w:rPr>
        <w:t xml:space="preserve">Ammonium-ion Batteries with a Wide Operation-temperature Window from -40 to 80 </w:t>
      </w:r>
      <w:r w:rsidR="00523213" w:rsidRPr="00523213">
        <w:rPr>
          <w:rFonts w:ascii="Times New Roman" w:hAnsi="Times New Roman" w:cs="Times New Roman"/>
          <w:b/>
          <w:bCs/>
          <w:sz w:val="32"/>
          <w:szCs w:val="32"/>
        </w:rPr>
        <w:t>°</w:t>
      </w:r>
      <w:r w:rsidRPr="00523213">
        <w:rPr>
          <w:rFonts w:ascii="Times New Roman" w:hAnsi="Times New Roman" w:cs="Times New Roman"/>
          <w:b/>
          <w:bCs/>
          <w:sz w:val="32"/>
          <w:szCs w:val="32"/>
        </w:rPr>
        <w:t>C</w:t>
      </w:r>
    </w:p>
    <w:bookmarkEnd w:id="0"/>
    <w:p w14:paraId="3FD995A5" w14:textId="07B32F59" w:rsidR="00DE2428" w:rsidRDefault="00DE2428" w:rsidP="00DE2428">
      <w:pPr>
        <w:widowControl/>
        <w:spacing w:after="240" w:line="480" w:lineRule="auto"/>
        <w:jc w:val="center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DE2428">
        <w:rPr>
          <w:rFonts w:ascii="Times New Roman" w:hAnsi="Times New Roman" w:cs="Times New Roman"/>
          <w:sz w:val="24"/>
          <w:szCs w:val="24"/>
        </w:rPr>
        <w:t>Lei Yan</w:t>
      </w:r>
      <w:r w:rsidRPr="00DE24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2428">
        <w:rPr>
          <w:rFonts w:ascii="Times New Roman" w:hAnsi="Times New Roman" w:cs="Times New Roman"/>
          <w:sz w:val="24"/>
          <w:szCs w:val="24"/>
        </w:rPr>
        <w:t xml:space="preserve">, </w:t>
      </w:r>
      <w:bookmarkStart w:id="2" w:name="OLE_LINK4"/>
      <w:proofErr w:type="spellStart"/>
      <w:r w:rsidRPr="00DE242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E2428">
        <w:rPr>
          <w:rFonts w:ascii="Times New Roman" w:hAnsi="Times New Roman" w:cs="Times New Roman"/>
          <w:sz w:val="24"/>
          <w:szCs w:val="24"/>
        </w:rPr>
        <w:t>-e Qi</w:t>
      </w:r>
      <w:bookmarkEnd w:id="2"/>
      <w:r w:rsidRPr="00DE242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2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428">
        <w:rPr>
          <w:rFonts w:ascii="Times New Roman" w:hAnsi="Times New Roman" w:cs="Times New Roman"/>
          <w:sz w:val="24"/>
          <w:szCs w:val="24"/>
        </w:rPr>
        <w:t>Xiaoli</w:t>
      </w:r>
      <w:proofErr w:type="spellEnd"/>
      <w:r w:rsidRPr="00DE2428">
        <w:rPr>
          <w:rFonts w:ascii="Times New Roman" w:hAnsi="Times New Roman" w:cs="Times New Roman"/>
          <w:sz w:val="24"/>
          <w:szCs w:val="24"/>
        </w:rPr>
        <w:t xml:space="preserve"> Dong</w:t>
      </w:r>
      <w:r w:rsidRPr="00DE2428">
        <w:rPr>
          <w:rFonts w:ascii="Times New Roman" w:eastAsia="微软雅黑" w:hAnsi="Times New Roman" w:cs="Times New Roman"/>
          <w:kern w:val="0"/>
          <w:sz w:val="24"/>
          <w:szCs w:val="24"/>
        </w:rPr>
        <w:t>*</w:t>
      </w:r>
      <w:r w:rsidRPr="00DE2428">
        <w:rPr>
          <w:rFonts w:ascii="Times New Roman" w:hAnsi="Times New Roman" w:cs="Times New Roman"/>
          <w:sz w:val="24"/>
          <w:szCs w:val="24"/>
        </w:rPr>
        <w:t>, Yonggang Wang</w:t>
      </w:r>
      <w:r w:rsidRPr="00DE2428">
        <w:rPr>
          <w:rFonts w:ascii="Times New Roman" w:eastAsia="微软雅黑" w:hAnsi="Times New Roman" w:cs="Times New Roman"/>
          <w:kern w:val="0"/>
          <w:sz w:val="24"/>
          <w:szCs w:val="24"/>
        </w:rPr>
        <w:t>*</w:t>
      </w:r>
      <w:r w:rsidR="006B077E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 w:rsidR="006B077E">
        <w:rPr>
          <w:rFonts w:ascii="Times New Roman" w:eastAsia="微软雅黑" w:hAnsi="Times New Roman" w:cs="Times New Roman" w:hint="eastAsia"/>
          <w:kern w:val="0"/>
          <w:sz w:val="24"/>
          <w:szCs w:val="24"/>
        </w:rPr>
        <w:t>a</w:t>
      </w:r>
      <w:r w:rsidR="006B077E">
        <w:rPr>
          <w:rFonts w:ascii="Times New Roman" w:eastAsia="微软雅黑" w:hAnsi="Times New Roman" w:cs="Times New Roman"/>
          <w:kern w:val="0"/>
          <w:sz w:val="24"/>
          <w:szCs w:val="24"/>
        </w:rPr>
        <w:t>nd Yongyao Xia</w:t>
      </w:r>
    </w:p>
    <w:p w14:paraId="6892CD2F" w14:textId="05A25668" w:rsidR="001F6C9A" w:rsidRPr="00FF6B48" w:rsidRDefault="001F6C9A" w:rsidP="00DE2428">
      <w:pPr>
        <w:widowControl/>
        <w:spacing w:after="240" w:line="480" w:lineRule="auto"/>
        <w:rPr>
          <w:rFonts w:ascii="Times" w:hAnsi="Times" w:cs="Times"/>
          <w:kern w:val="0"/>
          <w:sz w:val="24"/>
          <w:szCs w:val="20"/>
          <w:lang w:eastAsia="en-US"/>
        </w:rPr>
      </w:pPr>
      <w:r w:rsidRPr="00FF6B48">
        <w:rPr>
          <w:rFonts w:ascii="Times" w:hAnsi="Times" w:cs="Times"/>
          <w:kern w:val="0"/>
          <w:sz w:val="24"/>
          <w:szCs w:val="20"/>
          <w:vertAlign w:val="superscript"/>
          <w:lang w:eastAsia="en-US"/>
        </w:rPr>
        <w:t>†</w:t>
      </w:r>
      <w:r w:rsidRPr="00FF6B48">
        <w:rPr>
          <w:rFonts w:ascii="Times" w:hAnsi="Times" w:cs="Times"/>
          <w:kern w:val="0"/>
          <w:sz w:val="24"/>
          <w:szCs w:val="20"/>
          <w:lang w:eastAsia="en-US"/>
        </w:rPr>
        <w:t xml:space="preserve"> Department of Chemistry</w:t>
      </w:r>
      <w:r w:rsidRPr="00FF6B48">
        <w:rPr>
          <w:rFonts w:ascii="Times" w:hAnsi="Times" w:cs="Times"/>
          <w:kern w:val="0"/>
          <w:sz w:val="24"/>
          <w:szCs w:val="20"/>
        </w:rPr>
        <w:t xml:space="preserve"> and</w:t>
      </w:r>
      <w:r w:rsidRPr="00FF6B48">
        <w:rPr>
          <w:rFonts w:ascii="Times" w:hAnsi="Times" w:cs="Times"/>
          <w:kern w:val="0"/>
          <w:sz w:val="24"/>
          <w:szCs w:val="20"/>
          <w:lang w:eastAsia="en-US"/>
        </w:rPr>
        <w:t xml:space="preserve"> Shanghai Key Laboratory of Molecular Catalysis and Innovative Materials, Institute of New Energy, iChEM (Collaborative Innovation Center of Chemistry for Energy Materials), Fudan University, Shanghai 200433, China</w:t>
      </w:r>
    </w:p>
    <w:p w14:paraId="62D661A8" w14:textId="02C217C9" w:rsidR="001F6C9A" w:rsidRPr="00310F72" w:rsidRDefault="001F6C9A" w:rsidP="001F6C9A">
      <w:pPr>
        <w:snapToGrid w:val="0"/>
        <w:spacing w:beforeLines="100" w:before="312" w:after="240" w:line="480" w:lineRule="auto"/>
        <w:rPr>
          <w:rFonts w:ascii="Times New Roman" w:eastAsia="Arial Unicode MS" w:hAnsi="Times New Roman" w:cs="Times New Roman"/>
          <w:szCs w:val="21"/>
        </w:rPr>
      </w:pPr>
      <w:r w:rsidRPr="00FF6B48">
        <w:rPr>
          <w:rFonts w:ascii="TimesNewRoman" w:hAnsi="TimesNewRoman"/>
          <w:color w:val="000000"/>
          <w:sz w:val="24"/>
          <w:szCs w:val="24"/>
        </w:rPr>
        <w:t>*Correspondence and requests for materials should be addressed to</w:t>
      </w:r>
      <w:r>
        <w:rPr>
          <w:rFonts w:ascii="TimesNewRoman" w:hAnsi="TimesNewRoman"/>
          <w:color w:val="000000"/>
          <w:sz w:val="24"/>
          <w:szCs w:val="24"/>
        </w:rPr>
        <w:t xml:space="preserve"> </w:t>
      </w:r>
      <w:r w:rsidR="00DE2428" w:rsidRPr="00DE2428">
        <w:rPr>
          <w:rFonts w:ascii="TimesNewRoman" w:hAnsi="TimesNewRoman"/>
          <w:color w:val="000000"/>
          <w:sz w:val="24"/>
          <w:szCs w:val="24"/>
        </w:rPr>
        <w:t>xldong@fudan.edu.cn; ygwang@fudan.edu.cn</w:t>
      </w:r>
    </w:p>
    <w:p w14:paraId="2124E44A" w14:textId="1F56ACBF" w:rsidR="00BC4BAE" w:rsidRPr="001F6C9A" w:rsidRDefault="00BC4BAE" w:rsidP="00BC4BAE">
      <w:pPr>
        <w:jc w:val="center"/>
      </w:pPr>
    </w:p>
    <w:p w14:paraId="5B2DE843" w14:textId="0B343A1E" w:rsidR="00BC4BAE" w:rsidRDefault="00BC4BAE" w:rsidP="00BC4BAE">
      <w:pPr>
        <w:jc w:val="center"/>
      </w:pPr>
    </w:p>
    <w:p w14:paraId="6DA65A53" w14:textId="21E422A8" w:rsidR="00BC4BAE" w:rsidRDefault="00BC4BAE" w:rsidP="00BC4BAE">
      <w:pPr>
        <w:jc w:val="center"/>
      </w:pPr>
    </w:p>
    <w:p w14:paraId="48124E4A" w14:textId="01523CC3" w:rsidR="00BC4BAE" w:rsidRDefault="00BC4BAE" w:rsidP="00BC4BAE">
      <w:pPr>
        <w:jc w:val="center"/>
      </w:pPr>
    </w:p>
    <w:p w14:paraId="4AF1AA14" w14:textId="3416A5AC" w:rsidR="00BC4BAE" w:rsidRDefault="00BC4BAE" w:rsidP="00BC4BAE">
      <w:pPr>
        <w:jc w:val="center"/>
      </w:pPr>
    </w:p>
    <w:p w14:paraId="63DE85B5" w14:textId="6ABC62DE" w:rsidR="00BC4BAE" w:rsidRDefault="00BC4BAE" w:rsidP="00BC4BAE">
      <w:pPr>
        <w:jc w:val="center"/>
      </w:pPr>
    </w:p>
    <w:p w14:paraId="5829D0FD" w14:textId="57435ACB" w:rsidR="00BC4BAE" w:rsidRDefault="00BC4BAE" w:rsidP="00BC4BAE">
      <w:pPr>
        <w:jc w:val="center"/>
      </w:pPr>
    </w:p>
    <w:p w14:paraId="4DFEF244" w14:textId="48A0F059" w:rsidR="00BC4BAE" w:rsidRDefault="00BC4BAE" w:rsidP="00BC4BAE">
      <w:pPr>
        <w:jc w:val="center"/>
      </w:pPr>
    </w:p>
    <w:p w14:paraId="61315169" w14:textId="3C0D0322" w:rsidR="00BC4BAE" w:rsidRDefault="00BC4BAE" w:rsidP="00BC4BAE">
      <w:pPr>
        <w:jc w:val="center"/>
      </w:pPr>
    </w:p>
    <w:p w14:paraId="5A3E0EF5" w14:textId="19D0C484" w:rsidR="00BC4BAE" w:rsidRDefault="00BC4BAE" w:rsidP="00BC4BAE">
      <w:pPr>
        <w:jc w:val="center"/>
      </w:pPr>
    </w:p>
    <w:p w14:paraId="790FCAED" w14:textId="6DE8D12B" w:rsidR="00BC4BAE" w:rsidRDefault="00BC4BAE" w:rsidP="00BC4BAE">
      <w:pPr>
        <w:jc w:val="center"/>
      </w:pPr>
    </w:p>
    <w:p w14:paraId="17AD4E31" w14:textId="6E9D731B" w:rsidR="00BC4BAE" w:rsidRDefault="00BC4BAE" w:rsidP="00BC4BAE">
      <w:pPr>
        <w:jc w:val="center"/>
      </w:pPr>
    </w:p>
    <w:p w14:paraId="2955D3B0" w14:textId="5CA6CA99" w:rsidR="00BC4BAE" w:rsidRDefault="00BC4BAE" w:rsidP="00BC4BAE">
      <w:pPr>
        <w:jc w:val="center"/>
      </w:pPr>
    </w:p>
    <w:p w14:paraId="05B72A40" w14:textId="5EDC847B" w:rsidR="00BC4BAE" w:rsidRDefault="00BC4BAE" w:rsidP="00BC4BAE">
      <w:pPr>
        <w:jc w:val="center"/>
      </w:pPr>
    </w:p>
    <w:p w14:paraId="4CD35B78" w14:textId="6368DCF0" w:rsidR="00BC4BAE" w:rsidRDefault="00BC4BAE" w:rsidP="00BC4BAE">
      <w:pPr>
        <w:jc w:val="center"/>
      </w:pPr>
    </w:p>
    <w:p w14:paraId="48F0D4EE" w14:textId="5A257DF5" w:rsidR="00BC4BAE" w:rsidRDefault="00BC4BAE" w:rsidP="00BC4BAE">
      <w:pPr>
        <w:jc w:val="center"/>
      </w:pPr>
    </w:p>
    <w:p w14:paraId="6B5E157D" w14:textId="136B556C" w:rsidR="00BC4BAE" w:rsidRDefault="00BC4BAE" w:rsidP="00BC4BAE">
      <w:pPr>
        <w:jc w:val="center"/>
      </w:pPr>
    </w:p>
    <w:p w14:paraId="73F6FD7E" w14:textId="6567BA1D" w:rsidR="00BC4BAE" w:rsidRDefault="00BC4BAE" w:rsidP="00BC4BAE">
      <w:pPr>
        <w:jc w:val="center"/>
      </w:pPr>
    </w:p>
    <w:p w14:paraId="73F9C286" w14:textId="4FA87ACD" w:rsidR="001F6C9A" w:rsidRDefault="001F6C9A" w:rsidP="00CD3F1B"/>
    <w:p w14:paraId="64BB9EA4" w14:textId="55AE203D" w:rsidR="001F6C9A" w:rsidRDefault="001F6C9A" w:rsidP="00C2007B">
      <w:pPr>
        <w:adjustRightInd w:val="0"/>
        <w:snapToGrid w:val="0"/>
        <w:spacing w:line="360" w:lineRule="auto"/>
        <w:rPr>
          <w:rFonts w:ascii="Times New Roman" w:eastAsia="等线" w:hAnsi="Times New Roman" w:cs="Times New Roman"/>
          <w:b/>
          <w:sz w:val="24"/>
          <w:szCs w:val="24"/>
        </w:rPr>
      </w:pPr>
      <w:r w:rsidRPr="00F95A53">
        <w:rPr>
          <w:rFonts w:ascii="Times New Roman" w:eastAsia="等线" w:hAnsi="Times New Roman" w:cs="Times New Roman"/>
          <w:b/>
          <w:sz w:val="24"/>
          <w:szCs w:val="24"/>
        </w:rPr>
        <w:t>Calculations about energy density and power density of the</w:t>
      </w:r>
      <w:r>
        <w:rPr>
          <w:rFonts w:ascii="Times New Roman" w:eastAsia="等线" w:hAnsi="Times New Roman" w:cs="Times New Roman"/>
          <w:b/>
          <w:sz w:val="24"/>
          <w:szCs w:val="24"/>
        </w:rPr>
        <w:t xml:space="preserve"> </w:t>
      </w:r>
      <w:proofErr w:type="spellStart"/>
      <w:r w:rsidR="00C2007B" w:rsidRPr="00C2007B">
        <w:rPr>
          <w:rFonts w:ascii="Times New Roman" w:eastAsia="等线" w:hAnsi="Times New Roman" w:cs="Times New Roman"/>
          <w:b/>
          <w:sz w:val="24"/>
          <w:szCs w:val="24"/>
        </w:rPr>
        <w:t>NiHCF@CNTs</w:t>
      </w:r>
      <w:proofErr w:type="spellEnd"/>
      <w:r w:rsidR="00C2007B" w:rsidRPr="00C2007B">
        <w:rPr>
          <w:rFonts w:ascii="Times New Roman" w:eastAsia="等线" w:hAnsi="Times New Roman" w:cs="Times New Roman"/>
          <w:b/>
          <w:sz w:val="24"/>
          <w:szCs w:val="24"/>
        </w:rPr>
        <w:t>//poly(1,5-NAPD)</w:t>
      </w:r>
      <w:r w:rsidR="00C2007B">
        <w:rPr>
          <w:rFonts w:ascii="Times New Roman" w:eastAsia="等线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等线" w:hAnsi="Times New Roman" w:cs="Times New Roman"/>
          <w:b/>
          <w:sz w:val="24"/>
          <w:szCs w:val="24"/>
        </w:rPr>
        <w:t>full cell</w:t>
      </w:r>
    </w:p>
    <w:p w14:paraId="0CC1E268" w14:textId="3F75EB4B" w:rsidR="001F6C9A" w:rsidRPr="00A801D5" w:rsidRDefault="001F6C9A" w:rsidP="00C2007B">
      <w:pPr>
        <w:adjustRightInd w:val="0"/>
        <w:snapToGrid w:val="0"/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A801D5">
        <w:rPr>
          <w:rFonts w:ascii="Times New Roman" w:eastAsia="等线" w:hAnsi="Times New Roman" w:cs="Times New Roman"/>
          <w:sz w:val="24"/>
          <w:szCs w:val="24"/>
        </w:rPr>
        <w:t xml:space="preserve">The energy density and powder density of </w:t>
      </w:r>
      <w:proofErr w:type="spellStart"/>
      <w:r w:rsidR="00C2007B" w:rsidRPr="00C2007B">
        <w:rPr>
          <w:rFonts w:ascii="Times New Roman" w:eastAsia="微软雅黑" w:hAnsi="Times New Roman" w:cs="Times New Roman"/>
          <w:kern w:val="0"/>
          <w:sz w:val="24"/>
          <w:szCs w:val="24"/>
        </w:rPr>
        <w:t>NiHCF@CNTs</w:t>
      </w:r>
      <w:proofErr w:type="spellEnd"/>
      <w:r w:rsidR="00C2007B" w:rsidRPr="00C2007B">
        <w:rPr>
          <w:rFonts w:ascii="Times New Roman" w:eastAsia="微软雅黑" w:hAnsi="Times New Roman" w:cs="Times New Roman"/>
          <w:kern w:val="0"/>
          <w:sz w:val="24"/>
          <w:szCs w:val="24"/>
        </w:rPr>
        <w:t>//poly(1,5-NAPD)</w:t>
      </w:r>
      <w:r w:rsidRPr="00F95A53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cell</w:t>
      </w:r>
      <w:r w:rsidRPr="00A801D5">
        <w:rPr>
          <w:rFonts w:ascii="Times New Roman" w:eastAsia="等线" w:hAnsi="Times New Roman" w:cs="Times New Roman"/>
          <w:sz w:val="24"/>
          <w:szCs w:val="24"/>
        </w:rPr>
        <w:t xml:space="preserve"> w</w:t>
      </w:r>
      <w:r>
        <w:rPr>
          <w:rFonts w:ascii="Times New Roman" w:eastAsia="等线" w:hAnsi="Times New Roman" w:cs="Times New Roman" w:hint="eastAsia"/>
          <w:sz w:val="24"/>
          <w:szCs w:val="24"/>
        </w:rPr>
        <w:t>ere</w:t>
      </w:r>
      <w:r w:rsidRPr="00A801D5">
        <w:rPr>
          <w:rFonts w:ascii="Times New Roman" w:eastAsia="等线" w:hAnsi="Times New Roman" w:cs="Times New Roman"/>
          <w:sz w:val="24"/>
          <w:szCs w:val="24"/>
        </w:rPr>
        <w:t xml:space="preserve"> calculated by following equation</w:t>
      </w:r>
      <w:r>
        <w:rPr>
          <w:rFonts w:ascii="Times New Roman" w:eastAsia="等线" w:hAnsi="Times New Roman" w:cs="Times New Roman"/>
          <w:sz w:val="24"/>
          <w:szCs w:val="24"/>
        </w:rPr>
        <w:t>s</w:t>
      </w:r>
      <w:r w:rsidRPr="00A801D5">
        <w:rPr>
          <w:rFonts w:ascii="Times New Roman" w:eastAsia="等线" w:hAnsi="Times New Roman" w:cs="Times New Roman"/>
          <w:sz w:val="24"/>
          <w:szCs w:val="24"/>
        </w:rPr>
        <w:t>:</w:t>
      </w:r>
    </w:p>
    <w:p w14:paraId="051767AF" w14:textId="482A1A57" w:rsidR="001F6C9A" w:rsidRPr="00A801D5" w:rsidRDefault="001F6C9A" w:rsidP="00C2007B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="微软雅黑" w:hAnsi="Cambria Math" w:cs="Times New Roman"/>
              <w:kern w:val="0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="微软雅黑" w:hAnsi="Cambria Math" w:cs="Times New Roman"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微软雅黑" w:hAnsi="Cambria Math" w:cs="Times New Roman"/>
                  <w:kern w:val="0"/>
                  <w:sz w:val="24"/>
                  <w:szCs w:val="24"/>
                </w:rPr>
                <m:t>C×V</m:t>
              </m:r>
            </m:num>
            <m:den>
              <m:r>
                <w:rPr>
                  <w:rFonts w:ascii="Cambria Math" w:eastAsia="微软雅黑" w:hAnsi="Cambria Math" w:cs="Times New Roman"/>
                  <w:kern w:val="0"/>
                  <w:sz w:val="24"/>
                  <w:szCs w:val="24"/>
                </w:rPr>
                <m:t>M×1000</m:t>
              </m:r>
            </m:den>
          </m:f>
        </m:oMath>
      </m:oMathPara>
    </w:p>
    <w:p w14:paraId="6DF14504" w14:textId="77777777" w:rsidR="001F6C9A" w:rsidRPr="00030101" w:rsidRDefault="001F6C9A" w:rsidP="00C2007B">
      <w:pPr>
        <w:adjustRightInd w:val="0"/>
        <w:snapToGrid w:val="0"/>
        <w:spacing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微软雅黑" w:hAnsi="Cambria Math" w:cs="Times New Roman"/>
              <w:kern w:val="0"/>
              <w:sz w:val="24"/>
              <w:szCs w:val="24"/>
            </w:rPr>
            <m:t>P=</m:t>
          </m:r>
          <m:f>
            <m:fPr>
              <m:ctrlPr>
                <w:rPr>
                  <w:rFonts w:ascii="Cambria Math" w:eastAsia="微软雅黑" w:hAnsi="Cambria Math" w:cs="Times New Roman"/>
                  <w:kern w:val="0"/>
                  <w:sz w:val="24"/>
                  <w:szCs w:val="24"/>
                </w:rPr>
              </m:ctrlPr>
            </m:fPr>
            <m:num>
              <m:r>
                <w:rPr>
                  <w:rFonts w:ascii="Cambria Math" w:eastAsia="微软雅黑" w:hAnsi="Cambria Math" w:cs="Times New Roman"/>
                  <w:kern w:val="0"/>
                  <w:sz w:val="24"/>
                  <w:szCs w:val="24"/>
                </w:rPr>
                <m:t>E</m:t>
              </m:r>
            </m:num>
            <m:den>
              <m:r>
                <w:rPr>
                  <w:rFonts w:ascii="Cambria Math" w:eastAsia="微软雅黑" w:hAnsi="Cambria Math" w:cs="Times New Roman"/>
                  <w:kern w:val="0"/>
                  <w:sz w:val="24"/>
                  <w:szCs w:val="24"/>
                </w:rPr>
                <m:t>t</m:t>
              </m:r>
            </m:den>
          </m:f>
        </m:oMath>
      </m:oMathPara>
    </w:p>
    <w:p w14:paraId="0D7BE883" w14:textId="0275C1C1" w:rsidR="001F6C9A" w:rsidRPr="00C2007B" w:rsidRDefault="001F6C9A" w:rsidP="00C2007B">
      <w:pPr>
        <w:adjustRightInd w:val="0"/>
        <w:snapToGrid w:val="0"/>
        <w:spacing w:after="240" w:line="360" w:lineRule="auto"/>
        <w:rPr>
          <w:rFonts w:ascii="Times New Roman" w:eastAsia="微软雅黑" w:hAnsi="Times New Roman" w:cs="Times New Roman"/>
          <w:kern w:val="0"/>
          <w:sz w:val="24"/>
          <w:szCs w:val="24"/>
        </w:rPr>
      </w:pP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Herein, </w:t>
      </w:r>
      <w:r w:rsidRPr="00030101">
        <w:rPr>
          <w:rFonts w:ascii="Times New Roman" w:eastAsia="微软雅黑" w:hAnsi="Times New Roman" w:cs="Times New Roman"/>
          <w:i/>
          <w:kern w:val="0"/>
          <w:sz w:val="24"/>
          <w:szCs w:val="24"/>
        </w:rPr>
        <w:t>E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represents the energy density (Wh kg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  <w:vertAlign w:val="superscript"/>
        </w:rPr>
        <w:t>-1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). </w:t>
      </w:r>
      <w:r w:rsidRPr="00030101">
        <w:rPr>
          <w:rFonts w:ascii="Times New Roman" w:eastAsia="微软雅黑" w:hAnsi="Times New Roman" w:cs="Times New Roman"/>
          <w:i/>
          <w:kern w:val="0"/>
          <w:sz w:val="24"/>
          <w:szCs w:val="24"/>
        </w:rPr>
        <w:t>C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is the discharge capacity 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>of the cell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(mAh)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. </w:t>
      </w:r>
      <w:r w:rsidRPr="00030101">
        <w:rPr>
          <w:rFonts w:ascii="Times New Roman" w:eastAsia="微软雅黑" w:hAnsi="Times New Roman" w:cs="Times New Roman"/>
          <w:i/>
          <w:kern w:val="0"/>
          <w:sz w:val="24"/>
          <w:szCs w:val="24"/>
        </w:rPr>
        <w:t>V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is the</w:t>
      </w:r>
      <w:r>
        <w:rPr>
          <w:rFonts w:ascii="Times New Roman" w:eastAsia="微软雅黑" w:hAnsi="Times New Roman" w:cs="Times New Roman" w:hint="eastAsia"/>
          <w:kern w:val="0"/>
          <w:sz w:val="24"/>
          <w:szCs w:val="24"/>
        </w:rPr>
        <w:t xml:space="preserve"> 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>average discharge voltage of the cell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(V)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. </w:t>
      </w:r>
      <w:r w:rsidRPr="00030101">
        <w:rPr>
          <w:rFonts w:ascii="Times New Roman" w:eastAsia="微软雅黑" w:hAnsi="Times New Roman" w:cs="Times New Roman"/>
          <w:i/>
          <w:kern w:val="0"/>
          <w:sz w:val="24"/>
          <w:szCs w:val="24"/>
        </w:rPr>
        <w:t>M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>is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the total mass 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(Kg) 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of </w:t>
      </w:r>
      <w:r w:rsidR="00C2007B" w:rsidRPr="00C2007B">
        <w:rPr>
          <w:rFonts w:ascii="Times New Roman" w:eastAsia="微软雅黑" w:hAnsi="Times New Roman" w:cs="Times New Roman"/>
          <w:kern w:val="0"/>
          <w:sz w:val="24"/>
          <w:szCs w:val="24"/>
        </w:rPr>
        <w:t>poly(1,5-NAPD)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and </w:t>
      </w:r>
      <w:proofErr w:type="spellStart"/>
      <w:r w:rsidR="00C2007B" w:rsidRPr="00C2007B">
        <w:rPr>
          <w:rFonts w:ascii="Times New Roman" w:eastAsia="微软雅黑" w:hAnsi="Times New Roman" w:cs="Times New Roman"/>
          <w:kern w:val="0"/>
          <w:sz w:val="24"/>
          <w:szCs w:val="24"/>
        </w:rPr>
        <w:t>NiHCF@CNTs</w:t>
      </w:r>
      <w:proofErr w:type="spellEnd"/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, respectively. </w:t>
      </w:r>
      <w:r w:rsidRPr="00030101">
        <w:rPr>
          <w:rFonts w:ascii="Times New Roman" w:eastAsia="微软雅黑" w:hAnsi="Times New Roman" w:cs="Times New Roman"/>
          <w:i/>
          <w:kern w:val="0"/>
          <w:sz w:val="24"/>
          <w:szCs w:val="24"/>
        </w:rPr>
        <w:t>P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represents the power density (W kg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  <w:vertAlign w:val="superscript"/>
        </w:rPr>
        <w:t>-1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), and </w:t>
      </w:r>
      <w:proofErr w:type="spellStart"/>
      <w:r w:rsidRPr="00030101">
        <w:rPr>
          <w:rFonts w:ascii="Times New Roman" w:eastAsia="微软雅黑" w:hAnsi="Times New Roman" w:cs="Times New Roman"/>
          <w:i/>
          <w:kern w:val="0"/>
          <w:sz w:val="24"/>
          <w:szCs w:val="24"/>
        </w:rPr>
        <w:t>t</w:t>
      </w:r>
      <w:proofErr w:type="spellEnd"/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is time for full discharge</w:t>
      </w:r>
      <w:r>
        <w:rPr>
          <w:rFonts w:ascii="Times New Roman" w:eastAsia="微软雅黑" w:hAnsi="Times New Roman" w:cs="Times New Roman"/>
          <w:kern w:val="0"/>
          <w:sz w:val="24"/>
          <w:szCs w:val="24"/>
        </w:rPr>
        <w:t xml:space="preserve"> (h)</w:t>
      </w:r>
      <w:r w:rsidRPr="00030101">
        <w:rPr>
          <w:rFonts w:ascii="Times New Roman" w:eastAsia="微软雅黑" w:hAnsi="Times New Roman" w:cs="Times New Roman"/>
          <w:kern w:val="0"/>
          <w:sz w:val="24"/>
          <w:szCs w:val="24"/>
        </w:rPr>
        <w:t>.</w:t>
      </w:r>
    </w:p>
    <w:sectPr w:rsidR="001F6C9A" w:rsidRPr="00C2007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F22C1" w14:textId="77777777" w:rsidR="002F5E3D" w:rsidRDefault="002F5E3D" w:rsidP="00BC4BAE">
      <w:r>
        <w:separator/>
      </w:r>
    </w:p>
  </w:endnote>
  <w:endnote w:type="continuationSeparator" w:id="0">
    <w:p w14:paraId="47CD28FD" w14:textId="77777777" w:rsidR="002F5E3D" w:rsidRDefault="002F5E3D" w:rsidP="00BC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HV">
    <w:altName w:val="Cambria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929220"/>
      <w:docPartObj>
        <w:docPartGallery w:val="Page Numbers (Bottom of Page)"/>
        <w:docPartUnique/>
      </w:docPartObj>
    </w:sdtPr>
    <w:sdtEndPr/>
    <w:sdtContent>
      <w:p w14:paraId="07863C13" w14:textId="08289129" w:rsidR="008C79B5" w:rsidRDefault="008C79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BD5" w:rsidRPr="00344BD5">
          <w:rPr>
            <w:noProof/>
            <w:lang w:val="zh-CN"/>
          </w:rPr>
          <w:t>2</w:t>
        </w:r>
        <w:r>
          <w:fldChar w:fldCharType="end"/>
        </w:r>
      </w:p>
    </w:sdtContent>
  </w:sdt>
  <w:p w14:paraId="73C3E878" w14:textId="77777777" w:rsidR="008C79B5" w:rsidRDefault="008C7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A2BF" w14:textId="77777777" w:rsidR="002F5E3D" w:rsidRDefault="002F5E3D" w:rsidP="00BC4BAE">
      <w:r>
        <w:separator/>
      </w:r>
    </w:p>
  </w:footnote>
  <w:footnote w:type="continuationSeparator" w:id="0">
    <w:p w14:paraId="7FE6EE14" w14:textId="77777777" w:rsidR="002F5E3D" w:rsidRDefault="002F5E3D" w:rsidP="00BC4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27B"/>
    <w:rsid w:val="00186B7B"/>
    <w:rsid w:val="001F6C9A"/>
    <w:rsid w:val="00206D5E"/>
    <w:rsid w:val="00285354"/>
    <w:rsid w:val="002F5E3D"/>
    <w:rsid w:val="0033714A"/>
    <w:rsid w:val="00344BD5"/>
    <w:rsid w:val="004B6F52"/>
    <w:rsid w:val="00523213"/>
    <w:rsid w:val="00524E30"/>
    <w:rsid w:val="00541E5E"/>
    <w:rsid w:val="0056527B"/>
    <w:rsid w:val="006527A6"/>
    <w:rsid w:val="006B077E"/>
    <w:rsid w:val="008C79B5"/>
    <w:rsid w:val="008F03F9"/>
    <w:rsid w:val="009A2910"/>
    <w:rsid w:val="00BC4BAE"/>
    <w:rsid w:val="00BD64A9"/>
    <w:rsid w:val="00C0071A"/>
    <w:rsid w:val="00C2007B"/>
    <w:rsid w:val="00C856DA"/>
    <w:rsid w:val="00CD3F1B"/>
    <w:rsid w:val="00D15247"/>
    <w:rsid w:val="00DE2428"/>
    <w:rsid w:val="00ED69F0"/>
    <w:rsid w:val="00F45242"/>
    <w:rsid w:val="00F6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B5D7F"/>
  <w15:chartTrackingRefBased/>
  <w15:docId w15:val="{591D8B77-3F4D-403F-9097-001B905C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4B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4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4BAE"/>
    <w:rPr>
      <w:sz w:val="18"/>
      <w:szCs w:val="18"/>
    </w:rPr>
  </w:style>
  <w:style w:type="character" w:customStyle="1" w:styleId="fontstyle01">
    <w:name w:val="fontstyle01"/>
    <w:basedOn w:val="a0"/>
    <w:rsid w:val="00F603BB"/>
    <w:rPr>
      <w:rFonts w:ascii="AdvHV" w:hAnsi="AdvHV" w:hint="default"/>
      <w:b w:val="0"/>
      <w:bCs w:val="0"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lei</dc:creator>
  <cp:keywords/>
  <dc:description/>
  <cp:lastModifiedBy>mengshan duan</cp:lastModifiedBy>
  <cp:revision>43</cp:revision>
  <dcterms:created xsi:type="dcterms:W3CDTF">2021-06-21T09:34:00Z</dcterms:created>
  <dcterms:modified xsi:type="dcterms:W3CDTF">2021-12-06T07:10:00Z</dcterms:modified>
</cp:coreProperties>
</file>